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A704A" w:rsidRPr="00CA704A" w:rsidTr="00CA704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A704A" w:rsidRPr="00CA704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A704A" w:rsidRPr="00CA704A" w:rsidRDefault="00CA704A" w:rsidP="00CA704A">
                  <w:pPr>
                    <w:spacing w:after="0" w:line="240" w:lineRule="atLeast"/>
                    <w:rPr>
                      <w:rFonts w:ascii="Times New Roman" w:eastAsia="Times New Roman" w:hAnsi="Times New Roman" w:cs="Times New Roman"/>
                      <w:sz w:val="24"/>
                      <w:szCs w:val="24"/>
                      <w:lang w:eastAsia="tr-TR"/>
                    </w:rPr>
                  </w:pPr>
                  <w:r w:rsidRPr="00CA704A">
                    <w:rPr>
                      <w:rFonts w:ascii="Arial" w:eastAsia="Times New Roman" w:hAnsi="Arial" w:cs="Arial"/>
                      <w:sz w:val="16"/>
                      <w:szCs w:val="16"/>
                      <w:lang w:eastAsia="tr-TR"/>
                    </w:rPr>
                    <w:t>3 Mart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A704A" w:rsidRPr="00CA704A" w:rsidRDefault="00CA704A" w:rsidP="00CA704A">
                  <w:pPr>
                    <w:spacing w:after="0" w:line="240" w:lineRule="atLeast"/>
                    <w:jc w:val="center"/>
                    <w:rPr>
                      <w:rFonts w:ascii="Times New Roman" w:eastAsia="Times New Roman" w:hAnsi="Times New Roman" w:cs="Times New Roman"/>
                      <w:sz w:val="24"/>
                      <w:szCs w:val="24"/>
                      <w:lang w:eastAsia="tr-TR"/>
                    </w:rPr>
                  </w:pPr>
                  <w:r w:rsidRPr="00CA704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A704A" w:rsidRPr="00CA704A" w:rsidRDefault="00CA704A" w:rsidP="00CA704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A704A">
                    <w:rPr>
                      <w:rFonts w:ascii="Arial" w:eastAsia="Times New Roman" w:hAnsi="Arial" w:cs="Arial"/>
                      <w:sz w:val="16"/>
                      <w:szCs w:val="16"/>
                      <w:lang w:eastAsia="tr-TR"/>
                    </w:rPr>
                    <w:t>Sayı : 31057</w:t>
                  </w:r>
                  <w:proofErr w:type="gramEnd"/>
                </w:p>
              </w:tc>
            </w:tr>
            <w:tr w:rsidR="00CA704A" w:rsidRPr="00CA704A">
              <w:trPr>
                <w:trHeight w:val="480"/>
                <w:jc w:val="center"/>
              </w:trPr>
              <w:tc>
                <w:tcPr>
                  <w:tcW w:w="8789" w:type="dxa"/>
                  <w:gridSpan w:val="3"/>
                  <w:tcMar>
                    <w:top w:w="0" w:type="dxa"/>
                    <w:left w:w="108" w:type="dxa"/>
                    <w:bottom w:w="0" w:type="dxa"/>
                    <w:right w:w="108" w:type="dxa"/>
                  </w:tcMar>
                  <w:vAlign w:val="center"/>
                  <w:hideMark/>
                </w:tcPr>
                <w:p w:rsidR="00CA704A" w:rsidRPr="00CA704A" w:rsidRDefault="00CA704A" w:rsidP="00CA70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704A">
                    <w:rPr>
                      <w:rFonts w:ascii="Arial" w:eastAsia="Times New Roman" w:hAnsi="Arial" w:cs="Arial"/>
                      <w:b/>
                      <w:bCs/>
                      <w:color w:val="000080"/>
                      <w:sz w:val="18"/>
                      <w:szCs w:val="18"/>
                      <w:lang w:eastAsia="tr-TR"/>
                    </w:rPr>
                    <w:t>TEBLİĞ</w:t>
                  </w:r>
                </w:p>
              </w:tc>
            </w:tr>
            <w:tr w:rsidR="00CA704A" w:rsidRPr="00CA704A">
              <w:trPr>
                <w:trHeight w:val="480"/>
                <w:jc w:val="center"/>
              </w:trPr>
              <w:tc>
                <w:tcPr>
                  <w:tcW w:w="8789" w:type="dxa"/>
                  <w:gridSpan w:val="3"/>
                  <w:tcMar>
                    <w:top w:w="0" w:type="dxa"/>
                    <w:left w:w="108" w:type="dxa"/>
                    <w:bottom w:w="0" w:type="dxa"/>
                    <w:right w:w="108" w:type="dxa"/>
                  </w:tcMar>
                  <w:vAlign w:val="center"/>
                  <w:hideMark/>
                </w:tcPr>
                <w:p w:rsidR="00CA704A" w:rsidRPr="00CA704A" w:rsidRDefault="00CA704A" w:rsidP="00CA704A">
                  <w:pPr>
                    <w:spacing w:after="0" w:line="240" w:lineRule="atLeast"/>
                    <w:ind w:firstLine="566"/>
                    <w:jc w:val="both"/>
                    <w:rPr>
                      <w:rFonts w:ascii="Times New Roman" w:eastAsia="Times New Roman" w:hAnsi="Times New Roman" w:cs="Times New Roman"/>
                      <w:u w:val="single"/>
                      <w:lang w:eastAsia="tr-TR"/>
                    </w:rPr>
                  </w:pPr>
                  <w:r w:rsidRPr="00CA704A">
                    <w:rPr>
                      <w:rFonts w:ascii="Times New Roman" w:eastAsia="Times New Roman" w:hAnsi="Times New Roman" w:cs="Times New Roman"/>
                      <w:sz w:val="18"/>
                      <w:szCs w:val="18"/>
                      <w:u w:val="single"/>
                      <w:lang w:eastAsia="tr-TR"/>
                    </w:rPr>
                    <w:t>Hazine ve Maliye Bakanlığından:</w:t>
                  </w:r>
                </w:p>
                <w:p w:rsidR="00CA704A" w:rsidRPr="00CA704A" w:rsidRDefault="00CA704A" w:rsidP="00CA704A">
                  <w:pPr>
                    <w:spacing w:after="0" w:line="240" w:lineRule="atLeast"/>
                    <w:jc w:val="center"/>
                    <w:rPr>
                      <w:rFonts w:ascii="Times New Roman" w:eastAsia="Times New Roman" w:hAnsi="Times New Roman" w:cs="Times New Roman"/>
                      <w:b/>
                      <w:bCs/>
                      <w:sz w:val="19"/>
                      <w:szCs w:val="19"/>
                      <w:lang w:eastAsia="tr-TR"/>
                    </w:rPr>
                  </w:pPr>
                  <w:r w:rsidRPr="00CA704A">
                    <w:rPr>
                      <w:rFonts w:ascii="Times New Roman" w:eastAsia="Times New Roman" w:hAnsi="Times New Roman" w:cs="Times New Roman"/>
                      <w:b/>
                      <w:bCs/>
                      <w:sz w:val="18"/>
                      <w:szCs w:val="18"/>
                      <w:lang w:eastAsia="tr-TR"/>
                    </w:rPr>
                    <w:t>TÜRK PARASI KIYMETİNİ KORUMA HAKKINDA 32 SAYILI KARARA</w:t>
                  </w:r>
                </w:p>
                <w:p w:rsidR="00CA704A" w:rsidRPr="00CA704A" w:rsidRDefault="00CA704A" w:rsidP="00CA704A">
                  <w:pPr>
                    <w:spacing w:after="0" w:line="240" w:lineRule="atLeast"/>
                    <w:jc w:val="center"/>
                    <w:rPr>
                      <w:rFonts w:ascii="Times New Roman" w:eastAsia="Times New Roman" w:hAnsi="Times New Roman" w:cs="Times New Roman"/>
                      <w:b/>
                      <w:bCs/>
                      <w:sz w:val="19"/>
                      <w:szCs w:val="19"/>
                      <w:lang w:eastAsia="tr-TR"/>
                    </w:rPr>
                  </w:pPr>
                  <w:r w:rsidRPr="00CA704A">
                    <w:rPr>
                      <w:rFonts w:ascii="Times New Roman" w:eastAsia="Times New Roman" w:hAnsi="Times New Roman" w:cs="Times New Roman"/>
                      <w:b/>
                      <w:bCs/>
                      <w:sz w:val="18"/>
                      <w:szCs w:val="18"/>
                      <w:lang w:eastAsia="tr-TR"/>
                    </w:rPr>
                    <w:t>İLİŞKİN TEBLİĞ (TEBLİĞ NO: 2008-32/34)’DE DEĞİŞİKLİK</w:t>
                  </w:r>
                </w:p>
                <w:p w:rsidR="00CA704A" w:rsidRPr="00CA704A" w:rsidRDefault="00CA704A" w:rsidP="00CA704A">
                  <w:pPr>
                    <w:spacing w:after="0" w:line="240" w:lineRule="atLeast"/>
                    <w:jc w:val="center"/>
                    <w:rPr>
                      <w:rFonts w:ascii="Times New Roman" w:eastAsia="Times New Roman" w:hAnsi="Times New Roman" w:cs="Times New Roman"/>
                      <w:b/>
                      <w:bCs/>
                      <w:sz w:val="19"/>
                      <w:szCs w:val="19"/>
                      <w:lang w:eastAsia="tr-TR"/>
                    </w:rPr>
                  </w:pPr>
                  <w:r w:rsidRPr="00CA704A">
                    <w:rPr>
                      <w:rFonts w:ascii="Times New Roman" w:eastAsia="Times New Roman" w:hAnsi="Times New Roman" w:cs="Times New Roman"/>
                      <w:b/>
                      <w:bCs/>
                      <w:sz w:val="18"/>
                      <w:szCs w:val="18"/>
                      <w:lang w:eastAsia="tr-TR"/>
                    </w:rPr>
                    <w:t>YAPILMASINA DAİR TEBLİĞ</w:t>
                  </w:r>
                </w:p>
                <w:p w:rsidR="00CA704A" w:rsidRPr="00CA704A" w:rsidRDefault="00CA704A" w:rsidP="00CA704A">
                  <w:pPr>
                    <w:spacing w:after="0" w:line="240" w:lineRule="atLeast"/>
                    <w:jc w:val="center"/>
                    <w:rPr>
                      <w:rFonts w:ascii="Times New Roman" w:eastAsia="Times New Roman" w:hAnsi="Times New Roman" w:cs="Times New Roman"/>
                      <w:b/>
                      <w:bCs/>
                      <w:sz w:val="19"/>
                      <w:szCs w:val="19"/>
                      <w:lang w:eastAsia="tr-TR"/>
                    </w:rPr>
                  </w:pPr>
                  <w:r w:rsidRPr="00CA704A">
                    <w:rPr>
                      <w:rFonts w:ascii="Times New Roman" w:eastAsia="Times New Roman" w:hAnsi="Times New Roman" w:cs="Times New Roman"/>
                      <w:b/>
                      <w:bCs/>
                      <w:sz w:val="18"/>
                      <w:szCs w:val="18"/>
                      <w:lang w:eastAsia="tr-TR"/>
                    </w:rPr>
                    <w:t>(TEBLİĞ NO: 2020-32/57)</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b/>
                      <w:bCs/>
                      <w:sz w:val="18"/>
                      <w:szCs w:val="18"/>
                      <w:lang w:eastAsia="tr-TR"/>
                    </w:rPr>
                    <w:t>MADDE 1 –</w:t>
                  </w:r>
                  <w:r w:rsidRPr="00CA704A">
                    <w:rPr>
                      <w:rFonts w:ascii="Times New Roman" w:eastAsia="Times New Roman" w:hAnsi="Times New Roman" w:cs="Times New Roman"/>
                      <w:sz w:val="18"/>
                      <w:szCs w:val="18"/>
                      <w:lang w:eastAsia="tr-TR"/>
                    </w:rPr>
                    <w:t xml:space="preserve"> 28/2/2008 tarihli ve 26801 sayılı Resmî </w:t>
                  </w:r>
                  <w:proofErr w:type="spellStart"/>
                  <w:r w:rsidRPr="00CA704A">
                    <w:rPr>
                      <w:rFonts w:ascii="Times New Roman" w:eastAsia="Times New Roman" w:hAnsi="Times New Roman" w:cs="Times New Roman"/>
                      <w:sz w:val="18"/>
                      <w:szCs w:val="18"/>
                      <w:lang w:eastAsia="tr-TR"/>
                    </w:rPr>
                    <w:t>Gazete’de</w:t>
                  </w:r>
                  <w:proofErr w:type="spellEnd"/>
                  <w:r w:rsidRPr="00CA704A">
                    <w:rPr>
                      <w:rFonts w:ascii="Times New Roman" w:eastAsia="Times New Roman" w:hAnsi="Times New Roman" w:cs="Times New Roman"/>
                      <w:sz w:val="18"/>
                      <w:szCs w:val="18"/>
                      <w:lang w:eastAsia="tr-TR"/>
                    </w:rPr>
                    <w:t xml:space="preserve"> yayımlanan Türk Parası Kıymetini Koruma Hakkında 32 Sayılı Karara İlişkin Tebliğ (Tebliğ No: 2008-32/34)’in 6 </w:t>
                  </w:r>
                  <w:proofErr w:type="spellStart"/>
                  <w:r w:rsidRPr="00CA704A">
                    <w:rPr>
                      <w:rFonts w:ascii="Times New Roman" w:eastAsia="Times New Roman" w:hAnsi="Times New Roman" w:cs="Times New Roman"/>
                      <w:sz w:val="18"/>
                      <w:szCs w:val="18"/>
                      <w:lang w:eastAsia="tr-TR"/>
                    </w:rPr>
                    <w:t>ncı</w:t>
                  </w:r>
                  <w:proofErr w:type="spellEnd"/>
                  <w:r w:rsidRPr="00CA704A">
                    <w:rPr>
                      <w:rFonts w:ascii="Times New Roman" w:eastAsia="Times New Roman" w:hAnsi="Times New Roman" w:cs="Times New Roman"/>
                      <w:sz w:val="18"/>
                      <w:szCs w:val="18"/>
                      <w:lang w:eastAsia="tr-TR"/>
                    </w:rPr>
                    <w:t> maddesinin ikinci fıkrasında yer alan “</w:t>
                  </w:r>
                  <w:proofErr w:type="gramStart"/>
                  <w:r w:rsidRPr="00CA704A">
                    <w:rPr>
                      <w:rFonts w:ascii="Times New Roman" w:eastAsia="Times New Roman" w:hAnsi="Times New Roman" w:cs="Times New Roman"/>
                      <w:sz w:val="18"/>
                      <w:szCs w:val="18"/>
                      <w:lang w:eastAsia="tr-TR"/>
                    </w:rPr>
                    <w:t>ekspertiz</w:t>
                  </w:r>
                  <w:proofErr w:type="gramEnd"/>
                  <w:r w:rsidRPr="00CA704A">
                    <w:rPr>
                      <w:rFonts w:ascii="Times New Roman" w:eastAsia="Times New Roman" w:hAnsi="Times New Roman" w:cs="Times New Roman"/>
                      <w:sz w:val="18"/>
                      <w:szCs w:val="18"/>
                      <w:lang w:eastAsia="tr-TR"/>
                    </w:rPr>
                    <w:t>” ibaresi “ayar” şeklinde ve “özel ayar evleri ile eksperlerce” ibaresi “özel ayar evlerince” şeklinde değiştirilmiş ve aynı maddeye aşağıdaki fıkralar eklenmiştir.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“(3) </w:t>
                  </w:r>
                  <w:proofErr w:type="gramStart"/>
                  <w:r w:rsidRPr="00CA704A">
                    <w:rPr>
                      <w:rFonts w:ascii="Times New Roman" w:eastAsia="Times New Roman" w:hAnsi="Times New Roman" w:cs="Times New Roman"/>
                      <w:sz w:val="18"/>
                      <w:szCs w:val="18"/>
                      <w:lang w:eastAsia="tr-TR"/>
                    </w:rPr>
                    <w:t>Dahilde</w:t>
                  </w:r>
                  <w:proofErr w:type="gramEnd"/>
                  <w:r w:rsidRPr="00CA704A">
                    <w:rPr>
                      <w:rFonts w:ascii="Times New Roman" w:eastAsia="Times New Roman" w:hAnsi="Times New Roman" w:cs="Times New Roman"/>
                      <w:sz w:val="18"/>
                      <w:szCs w:val="18"/>
                      <w:lang w:eastAsia="tr-TR"/>
                    </w:rPr>
                    <w:t> İşleme Rejimi Kararı kapsamında ithalatı gerçekleştirilen standart işlenmemiş kıymetli madenlerin Borsa İstanbul A.Ş. tarafından yayımlanan Rafineriler Listesinde yer alan rafinerilerce üretilmiş olması ve üretildiği rafinerinin mührünü veya ismini ya da amblemini taşıması zorunludur.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(4) Türkiye Cumhuriyeti Devleti ile vatandaşlık bağı bulunmayan ve yurda giriş tarihinde 18 yaşını doldurmuş olan yolcuların beraberlerinde bir takvim yılı içerisinde en fazla 5 </w:t>
                  </w:r>
                  <w:proofErr w:type="gramStart"/>
                  <w:r w:rsidRPr="00CA704A">
                    <w:rPr>
                      <w:rFonts w:ascii="Times New Roman" w:eastAsia="Times New Roman" w:hAnsi="Times New Roman" w:cs="Times New Roman"/>
                      <w:sz w:val="18"/>
                      <w:szCs w:val="18"/>
                      <w:lang w:eastAsia="tr-TR"/>
                    </w:rPr>
                    <w:t>kilogram ağırlığında</w:t>
                  </w:r>
                  <w:proofErr w:type="gramEnd"/>
                  <w:r w:rsidRPr="00CA704A">
                    <w:rPr>
                      <w:rFonts w:ascii="Times New Roman" w:eastAsia="Times New Roman" w:hAnsi="Times New Roman" w:cs="Times New Roman"/>
                      <w:sz w:val="18"/>
                      <w:szCs w:val="18"/>
                      <w:lang w:eastAsia="tr-TR"/>
                    </w:rPr>
                    <w:t> kendilerine ait olan standart işlenmemiş altını yurda getirmeleri serbesttir.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(5) Dördüncü fıkra kapsamında yurda getirilen standart işlenmemiş altın Ticaret Bakanlığı tarafından yayımlanan altın beyan formu ile yetkili gümrük idaresine beyan edilir.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(6) Dördüncü fıkra kapsamında yurda getirilecek altının Borsa İstanbul A.Ş. tarafından yayımlanan Rafineriler Listesinde yer alan rafinerilerce üretilmiş olması ve rafinerinin mührünü veya ismini ya da amblemini taşıması zorunludur. Yetkili gümrük idaresince ilgili altının Borsa İstanbul A.Ş. tarafından yayımlanan Rafineriler Listesinde yer alan bir rafineriye ait olup olmadığının kontrolü Borsa İstanbul A.Ş. tarafından yayımlanan rehber esas alınarak yapılır.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(7) Dördüncü fıkra kapsamında yolcu beraberi yapılan standart işlenmemiş altın girişlerinde beyanda bulunulmaması veya yanlış ya da yanıltıcı beyanda bulunulduğunun tespiti halinde söz konusu altının yurda girişine izin verilmez ve altın gümrük idaresince muhafaza altına alınır. Bu durum şüpheli kabul edilerek Mali Suçları Araştırma Kurulu Başkanlığına bildirilir. Ayrıca, yetkili gümrük idaresince 20/2/1930 tarihli ve 1567 sayılı Türk Parasının Kıymetini Koruma Hakkında Kanunun 3 üncü maddesi uyarınca işlem yapılabilmesini </w:t>
                  </w:r>
                  <w:proofErr w:type="spellStart"/>
                  <w:r w:rsidRPr="00CA704A">
                    <w:rPr>
                      <w:rFonts w:ascii="Times New Roman" w:eastAsia="Times New Roman" w:hAnsi="Times New Roman" w:cs="Times New Roman"/>
                      <w:sz w:val="18"/>
                      <w:szCs w:val="18"/>
                      <w:lang w:eastAsia="tr-TR"/>
                    </w:rPr>
                    <w:t>teminen</w:t>
                  </w:r>
                  <w:proofErr w:type="spellEnd"/>
                  <w:r w:rsidRPr="00CA704A">
                    <w:rPr>
                      <w:rFonts w:ascii="Times New Roman" w:eastAsia="Times New Roman" w:hAnsi="Times New Roman" w:cs="Times New Roman"/>
                      <w:sz w:val="18"/>
                      <w:szCs w:val="18"/>
                      <w:lang w:eastAsia="tr-TR"/>
                    </w:rPr>
                    <w:t> Cumhuriyet Savcılıklarına bildirimde bulunulur.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(8) 5 </w:t>
                  </w:r>
                  <w:proofErr w:type="gramStart"/>
                  <w:r w:rsidRPr="00CA704A">
                    <w:rPr>
                      <w:rFonts w:ascii="Times New Roman" w:eastAsia="Times New Roman" w:hAnsi="Times New Roman" w:cs="Times New Roman"/>
                      <w:sz w:val="18"/>
                      <w:szCs w:val="18"/>
                      <w:lang w:eastAsia="tr-TR"/>
                    </w:rPr>
                    <w:t>kilogram ağırlığını</w:t>
                  </w:r>
                  <w:proofErr w:type="gramEnd"/>
                  <w:r w:rsidRPr="00CA704A">
                    <w:rPr>
                      <w:rFonts w:ascii="Times New Roman" w:eastAsia="Times New Roman" w:hAnsi="Times New Roman" w:cs="Times New Roman"/>
                      <w:sz w:val="18"/>
                      <w:szCs w:val="18"/>
                      <w:lang w:eastAsia="tr-TR"/>
                    </w:rPr>
                    <w:t> aşan miktarda standart işlenmemiş altının dördüncü fıkra kapsamında yurda getirilerek beyan edilmek istenmesi halinde yurda getirilen altının 5 kilogramı aşan kısmı yetkili gümrük idaresince yolcu beraberi eşya ambarına alınır. 5 kilograma kadar olan kısmı ise yolcu beraberi standart işlenmemiş altının yurda getirilmesine ilişkin usule tabi tutulur.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(9) Dördüncü fıkra kapsamında standart işlenmemiş altın getirilmesine ilişkin işlemlerde yetkili gümrük idaresi İstanbul Havalimanı Yolcu Salonu Gümrük Müdürlüğüdür.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(10) Yetkili gümrük idaresi, yolcu beraberinde yurda getirilen standart işlenmemiş altına ilişkin bilgileri aylık dönemler halinde her ayın onuncu günü bitimine kadar Hazine ve Maliye Bakanlığına bildirir.”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b/>
                      <w:bCs/>
                      <w:sz w:val="18"/>
                      <w:szCs w:val="18"/>
                      <w:lang w:eastAsia="tr-TR"/>
                    </w:rPr>
                    <w:t>MADDE 2 – </w:t>
                  </w:r>
                  <w:r w:rsidRPr="00CA704A">
                    <w:rPr>
                      <w:rFonts w:ascii="Times New Roman" w:eastAsia="Times New Roman" w:hAnsi="Times New Roman" w:cs="Times New Roman"/>
                      <w:sz w:val="18"/>
                      <w:szCs w:val="18"/>
                      <w:lang w:eastAsia="tr-TR"/>
                    </w:rPr>
                    <w:t>Bu Tebliğ yayımı tarihinde yürürlüğe girer.</w:t>
                  </w:r>
                </w:p>
                <w:p w:rsidR="00CA704A" w:rsidRPr="00CA704A" w:rsidRDefault="00CA704A" w:rsidP="00CA704A">
                  <w:pPr>
                    <w:spacing w:after="0" w:line="240" w:lineRule="atLeast"/>
                    <w:ind w:firstLine="566"/>
                    <w:jc w:val="both"/>
                    <w:rPr>
                      <w:rFonts w:ascii="Times New Roman" w:eastAsia="Times New Roman" w:hAnsi="Times New Roman" w:cs="Times New Roman"/>
                      <w:sz w:val="19"/>
                      <w:szCs w:val="19"/>
                      <w:lang w:eastAsia="tr-TR"/>
                    </w:rPr>
                  </w:pPr>
                  <w:r w:rsidRPr="00CA704A">
                    <w:rPr>
                      <w:rFonts w:ascii="Times New Roman" w:eastAsia="Times New Roman" w:hAnsi="Times New Roman" w:cs="Times New Roman"/>
                      <w:b/>
                      <w:bCs/>
                      <w:sz w:val="18"/>
                      <w:szCs w:val="18"/>
                      <w:lang w:eastAsia="tr-TR"/>
                    </w:rPr>
                    <w:t>MADDE 3 – </w:t>
                  </w:r>
                  <w:r w:rsidRPr="00CA704A">
                    <w:rPr>
                      <w:rFonts w:ascii="Times New Roman" w:eastAsia="Times New Roman" w:hAnsi="Times New Roman" w:cs="Times New Roman"/>
                      <w:sz w:val="18"/>
                      <w:szCs w:val="18"/>
                      <w:lang w:eastAsia="tr-TR"/>
                    </w:rPr>
                    <w:t>Bu Tebliğ hükümlerini Hazine ve Maliye Bakanı yürütür.</w:t>
                  </w:r>
                </w:p>
                <w:p w:rsidR="00CA704A" w:rsidRPr="00CA704A" w:rsidRDefault="00CA704A" w:rsidP="00CA704A">
                  <w:pPr>
                    <w:spacing w:after="0" w:line="240" w:lineRule="atLeast"/>
                    <w:jc w:val="center"/>
                    <w:rPr>
                      <w:rFonts w:ascii="Times New Roman" w:eastAsia="Times New Roman" w:hAnsi="Times New Roman" w:cs="Times New Roman"/>
                      <w:sz w:val="19"/>
                      <w:szCs w:val="19"/>
                      <w:lang w:eastAsia="tr-TR"/>
                    </w:rPr>
                  </w:pPr>
                  <w:r w:rsidRPr="00CA704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CA704A" w:rsidRPr="00CA704A">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b/>
                            <w:bCs/>
                            <w:sz w:val="18"/>
                            <w:szCs w:val="18"/>
                            <w:lang w:eastAsia="tr-TR"/>
                          </w:rPr>
                          <w:t>Tebliğin Yayımlandığı Resmî Gazete'nin</w:t>
                        </w:r>
                      </w:p>
                    </w:tc>
                  </w:tr>
                  <w:tr w:rsidR="00CA704A" w:rsidRPr="00CA704A">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b/>
                            <w:bCs/>
                            <w:sz w:val="18"/>
                            <w:szCs w:val="18"/>
                            <w:lang w:eastAsia="tr-TR"/>
                          </w:rPr>
                          <w:t>Sayısı</w:t>
                        </w:r>
                      </w:p>
                    </w:tc>
                  </w:tr>
                  <w:tr w:rsidR="00CA704A" w:rsidRPr="00CA704A">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28/2/2008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26801</w:t>
                        </w:r>
                      </w:p>
                    </w:tc>
                  </w:tr>
                  <w:tr w:rsidR="00CA704A" w:rsidRPr="00CA704A">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b/>
                            <w:bCs/>
                            <w:sz w:val="18"/>
                            <w:szCs w:val="18"/>
                            <w:lang w:eastAsia="tr-TR"/>
                          </w:rPr>
                          <w:t>Tebliğde Değişiklik Yapan Tebliğlerin Yayımlandığı Resmî Gazete'nin</w:t>
                        </w:r>
                      </w:p>
                    </w:tc>
                  </w:tr>
                  <w:tr w:rsidR="00CA704A" w:rsidRPr="00CA704A">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b/>
                            <w:bCs/>
                            <w:sz w:val="18"/>
                            <w:szCs w:val="18"/>
                            <w:lang w:eastAsia="tr-TR"/>
                          </w:rPr>
                          <w:t>Sayısı</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2/4/2009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27188</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11/7/2009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27285</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26/9/2012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28423</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30/12/2015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29578</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25/1/2018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30312</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7/9/2018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30528</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6/10/2018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30557</w:t>
                        </w:r>
                      </w:p>
                    </w:tc>
                  </w:tr>
                  <w:tr w:rsidR="00CA704A" w:rsidRPr="00CA704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16/11/2018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A704A" w:rsidRPr="00CA704A" w:rsidRDefault="00CA704A" w:rsidP="00CA70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A704A">
                          <w:rPr>
                            <w:rFonts w:ascii="Times New Roman" w:eastAsia="Times New Roman" w:hAnsi="Times New Roman" w:cs="Times New Roman"/>
                            <w:sz w:val="18"/>
                            <w:szCs w:val="18"/>
                            <w:lang w:eastAsia="tr-TR"/>
                          </w:rPr>
                          <w:t>30597</w:t>
                        </w:r>
                      </w:p>
                    </w:tc>
                  </w:tr>
                </w:tbl>
                <w:p w:rsidR="00CA704A" w:rsidRPr="00CA704A" w:rsidRDefault="00CA704A" w:rsidP="00CA704A">
                  <w:pPr>
                    <w:spacing w:after="0" w:line="240" w:lineRule="auto"/>
                    <w:rPr>
                      <w:rFonts w:ascii="Times New Roman" w:eastAsia="Times New Roman" w:hAnsi="Times New Roman" w:cs="Times New Roman"/>
                      <w:sz w:val="24"/>
                      <w:szCs w:val="24"/>
                      <w:lang w:eastAsia="tr-TR"/>
                    </w:rPr>
                  </w:pPr>
                </w:p>
              </w:tc>
            </w:tr>
          </w:tbl>
          <w:p w:rsidR="00CA704A" w:rsidRPr="00CA704A" w:rsidRDefault="00CA704A" w:rsidP="00CA704A">
            <w:pPr>
              <w:spacing w:after="0" w:line="240" w:lineRule="auto"/>
              <w:rPr>
                <w:rFonts w:ascii="Times New Roman" w:eastAsia="Times New Roman" w:hAnsi="Times New Roman" w:cs="Times New Roman"/>
                <w:sz w:val="24"/>
                <w:szCs w:val="24"/>
                <w:lang w:eastAsia="tr-TR"/>
              </w:rPr>
            </w:pPr>
          </w:p>
        </w:tc>
      </w:tr>
    </w:tbl>
    <w:p w:rsidR="001E004D" w:rsidRPr="00CA704A" w:rsidRDefault="001E004D" w:rsidP="00CA704A">
      <w:bookmarkStart w:id="0" w:name="_GoBack"/>
      <w:bookmarkEnd w:id="0"/>
    </w:p>
    <w:sectPr w:rsidR="001E004D" w:rsidRPr="00CA7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DE"/>
    <w:rsid w:val="000C14C9"/>
    <w:rsid w:val="00162FDE"/>
    <w:rsid w:val="001E004D"/>
    <w:rsid w:val="00CA7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E572-16C4-4E5A-8E4F-2C519818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1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C14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C14C9"/>
  </w:style>
  <w:style w:type="paragraph" w:customStyle="1" w:styleId="ortabalkbold">
    <w:name w:val="ortabalkbold"/>
    <w:basedOn w:val="Normal"/>
    <w:rsid w:val="000C14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C14C9"/>
  </w:style>
  <w:style w:type="character" w:customStyle="1" w:styleId="apple-converted-space">
    <w:name w:val="apple-converted-space"/>
    <w:basedOn w:val="VarsaylanParagrafYazTipi"/>
    <w:rsid w:val="000C14C9"/>
  </w:style>
  <w:style w:type="paragraph" w:customStyle="1" w:styleId="metin">
    <w:name w:val="metin"/>
    <w:basedOn w:val="Normal"/>
    <w:rsid w:val="000C1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70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8429">
      <w:bodyDiv w:val="1"/>
      <w:marLeft w:val="0"/>
      <w:marRight w:val="0"/>
      <w:marTop w:val="0"/>
      <w:marBottom w:val="0"/>
      <w:divBdr>
        <w:top w:val="none" w:sz="0" w:space="0" w:color="auto"/>
        <w:left w:val="none" w:sz="0" w:space="0" w:color="auto"/>
        <w:bottom w:val="none" w:sz="0" w:space="0" w:color="auto"/>
        <w:right w:val="none" w:sz="0" w:space="0" w:color="auto"/>
      </w:divBdr>
    </w:div>
    <w:div w:id="9742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Company>VDK</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TEKİN</dc:creator>
  <cp:keywords/>
  <dc:description/>
  <cp:lastModifiedBy>Ahmet TEKİN</cp:lastModifiedBy>
  <cp:revision>3</cp:revision>
  <dcterms:created xsi:type="dcterms:W3CDTF">2020-03-03T19:59:00Z</dcterms:created>
  <dcterms:modified xsi:type="dcterms:W3CDTF">2020-03-03T20:41:00Z</dcterms:modified>
</cp:coreProperties>
</file>